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154345" w:rsidP="004B1B41">
      <w:pPr>
        <w:spacing w:line="240" w:lineRule="auto"/>
        <w:contextualSpacing/>
      </w:pPr>
      <w:r>
        <w:t xml:space="preserve">FCHS HONOR CODE PLEDGE: ____________________________________ DATE: ___________________ </w:t>
      </w:r>
    </w:p>
    <w:p w:rsidR="00154345" w:rsidRPr="00154345" w:rsidRDefault="00154345" w:rsidP="004B1B41">
      <w:pPr>
        <w:spacing w:line="240" w:lineRule="auto"/>
        <w:contextualSpacing/>
        <w:rPr>
          <w:b/>
        </w:rPr>
      </w:pPr>
      <w:r w:rsidRPr="00154345">
        <w:rPr>
          <w:b/>
        </w:rPr>
        <w:t>THE GILDED AGE AND PROGRESSIVE ERA REVIEW GUIDE</w:t>
      </w:r>
    </w:p>
    <w:p w:rsidR="00154345" w:rsidRDefault="00154345" w:rsidP="004B1B41">
      <w:pPr>
        <w:spacing w:line="240" w:lineRule="auto"/>
        <w:contextualSpacing/>
      </w:pPr>
      <w:r>
        <w:t xml:space="preserve">Use either the comprehensive review PowerPoint or the textbook to define </w:t>
      </w:r>
      <w:r w:rsidR="004B1B41">
        <w:t>or identify the terms below.</w:t>
      </w:r>
    </w:p>
    <w:p w:rsidR="00154345" w:rsidRDefault="00154345" w:rsidP="00154345">
      <w:pPr>
        <w:spacing w:line="360" w:lineRule="auto"/>
        <w:contextualSpacing/>
      </w:pPr>
      <w:r>
        <w:t xml:space="preserve">1.  </w:t>
      </w:r>
      <w:proofErr w:type="gramStart"/>
      <w:r w:rsidRPr="00154345">
        <w:rPr>
          <w:b/>
        </w:rPr>
        <w:t>corporations</w:t>
      </w:r>
      <w:proofErr w:type="gramEnd"/>
      <w:r w:rsidRPr="00154345">
        <w:rPr>
          <w:b/>
        </w:rPr>
        <w:t xml:space="preserve"> </w:t>
      </w:r>
      <w:r>
        <w:t xml:space="preserve">(p. 422) - ________________________________________________________________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2.  </w:t>
      </w:r>
      <w:r w:rsidRPr="00154345">
        <w:rPr>
          <w:b/>
        </w:rPr>
        <w:t>Thomas Edison</w:t>
      </w:r>
      <w:r>
        <w:t xml:space="preserve"> (p. 412 – 413) - 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3.  </w:t>
      </w:r>
      <w:r w:rsidRPr="00154345">
        <w:rPr>
          <w:b/>
        </w:rPr>
        <w:t>Alexander Graham Bell</w:t>
      </w:r>
      <w:r>
        <w:t xml:space="preserve"> (p. 412) - 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4.  </w:t>
      </w:r>
      <w:r w:rsidRPr="00154345">
        <w:rPr>
          <w:b/>
        </w:rPr>
        <w:t>The Wright Brothers</w:t>
      </w:r>
      <w:r>
        <w:t xml:space="preserve"> (p. 413, inset) - 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54345" w:rsidRDefault="00154345" w:rsidP="00154345">
      <w:pPr>
        <w:spacing w:line="360" w:lineRule="auto"/>
        <w:contextualSpacing/>
      </w:pPr>
      <w:r>
        <w:t xml:space="preserve">5.  </w:t>
      </w:r>
      <w:r w:rsidR="008240C1" w:rsidRPr="004B1B41">
        <w:rPr>
          <w:b/>
        </w:rPr>
        <w:t>Henry Ford &amp; the Assembly Line</w:t>
      </w:r>
      <w:r w:rsidR="008240C1">
        <w:t xml:space="preserve"> (p. </w:t>
      </w:r>
      <w:r w:rsidR="003E32CF">
        <w:t xml:space="preserve">596) - ________________________________________________ </w:t>
      </w:r>
    </w:p>
    <w:p w:rsidR="003E32CF" w:rsidRDefault="003E32CF" w:rsidP="003E32CF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E32CF" w:rsidRDefault="004B1B41" w:rsidP="00154345">
      <w:pPr>
        <w:spacing w:line="360" w:lineRule="auto"/>
        <w:contextualSpacing/>
      </w:pPr>
      <w:r>
        <w:t xml:space="preserve">6.  </w:t>
      </w:r>
      <w:r w:rsidRPr="004B1B41">
        <w:rPr>
          <w:b/>
        </w:rPr>
        <w:t xml:space="preserve">Henry Bessemer &amp; </w:t>
      </w:r>
      <w:proofErr w:type="gramStart"/>
      <w:r w:rsidRPr="004B1B41">
        <w:rPr>
          <w:b/>
        </w:rPr>
        <w:t>The</w:t>
      </w:r>
      <w:proofErr w:type="gramEnd"/>
      <w:r w:rsidRPr="004B1B41">
        <w:rPr>
          <w:b/>
        </w:rPr>
        <w:t xml:space="preserve"> Bessemer Process</w:t>
      </w:r>
      <w:r>
        <w:t xml:space="preserve"> (p. 425) - ________________________________________ </w:t>
      </w:r>
    </w:p>
    <w:p w:rsidR="004B1B41" w:rsidRDefault="004B1B41" w:rsidP="004B1B4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B1B41" w:rsidRDefault="004B1B41" w:rsidP="00154345">
      <w:pPr>
        <w:spacing w:line="360" w:lineRule="auto"/>
        <w:contextualSpacing/>
      </w:pPr>
      <w:r>
        <w:t xml:space="preserve">7.  </w:t>
      </w:r>
      <w:r w:rsidRPr="004B1B41">
        <w:rPr>
          <w:b/>
        </w:rPr>
        <w:t>Andrew Carnegie</w:t>
      </w:r>
      <w:r>
        <w:t xml:space="preserve"> (p. 424 – 425) - _______________________________________________________ </w:t>
      </w:r>
    </w:p>
    <w:p w:rsidR="004B1B41" w:rsidRDefault="004B1B41" w:rsidP="004B1B4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B1B41" w:rsidRDefault="004B1B41" w:rsidP="00154345">
      <w:pPr>
        <w:spacing w:line="360" w:lineRule="auto"/>
        <w:contextualSpacing/>
      </w:pPr>
      <w:r>
        <w:t xml:space="preserve">8.  </w:t>
      </w:r>
      <w:r w:rsidRPr="004B1B41">
        <w:rPr>
          <w:b/>
        </w:rPr>
        <w:t>John Pierpont Morgan</w:t>
      </w:r>
      <w:r>
        <w:t xml:space="preserve"> (J.P.) (p. 426, inset or p. 427) - _______________________________________ </w:t>
      </w:r>
    </w:p>
    <w:p w:rsidR="004B1B41" w:rsidRDefault="004B1B41" w:rsidP="004B1B4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B1B41" w:rsidRDefault="004B1B41" w:rsidP="00154345">
      <w:pPr>
        <w:spacing w:line="360" w:lineRule="auto"/>
        <w:contextualSpacing/>
      </w:pPr>
      <w:r>
        <w:t xml:space="preserve">9.  </w:t>
      </w:r>
      <w:r w:rsidRPr="004B1B41">
        <w:rPr>
          <w:b/>
        </w:rPr>
        <w:t>John D. Rockefeller</w:t>
      </w:r>
      <w:r>
        <w:t xml:space="preserve"> (p. 426, inset, or p. 425 – 426) - ________________________________________ </w:t>
      </w:r>
    </w:p>
    <w:p w:rsidR="004B1B41" w:rsidRDefault="004B1B41" w:rsidP="004B1B4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B1B41" w:rsidRDefault="004B1B41" w:rsidP="00154345">
      <w:pPr>
        <w:spacing w:line="360" w:lineRule="auto"/>
        <w:contextualSpacing/>
      </w:pPr>
      <w:r>
        <w:t xml:space="preserve">10.  </w:t>
      </w:r>
      <w:r w:rsidRPr="004B1B41">
        <w:rPr>
          <w:b/>
        </w:rPr>
        <w:t>Cornelius Vanderbilt</w:t>
      </w:r>
      <w:r>
        <w:t xml:space="preserve"> (p. 419) - ________________________________________________________ </w:t>
      </w:r>
    </w:p>
    <w:p w:rsidR="004B1B41" w:rsidRDefault="004B1B41" w:rsidP="004B1B4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B1B41" w:rsidRDefault="004B1B41" w:rsidP="00154345">
      <w:pPr>
        <w:spacing w:line="360" w:lineRule="auto"/>
        <w:contextualSpacing/>
      </w:pPr>
      <w:r>
        <w:lastRenderedPageBreak/>
        <w:t xml:space="preserve">11.  </w:t>
      </w:r>
      <w:r w:rsidR="001A420D" w:rsidRPr="001A420D">
        <w:rPr>
          <w:b/>
        </w:rPr>
        <w:t>Laissez-Faire Economics</w:t>
      </w:r>
      <w:r w:rsidR="001A420D">
        <w:t xml:space="preserve"> (p. 414) - _____________________________________________________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12.  </w:t>
      </w:r>
      <w:r w:rsidRPr="001A420D">
        <w:rPr>
          <w:b/>
        </w:rPr>
        <w:t>Natural Resources in the United States</w:t>
      </w:r>
      <w:r>
        <w:t xml:space="preserve"> (p. 410) - 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13.  </w:t>
      </w:r>
      <w:r w:rsidRPr="001A420D">
        <w:rPr>
          <w:b/>
        </w:rPr>
        <w:t>Cheap Immigrant Labor</w:t>
      </w:r>
      <w:r>
        <w:t xml:space="preserve"> (p. 411) - ______________________________________________________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14.  </w:t>
      </w:r>
      <w:r w:rsidRPr="001A420D">
        <w:rPr>
          <w:b/>
        </w:rPr>
        <w:t>“The Gilded Age”</w:t>
      </w:r>
      <w:r>
        <w:t xml:space="preserve"> (p. 458) - ___________________________________________________________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15.  </w:t>
      </w:r>
      <w:r>
        <w:rPr>
          <w:b/>
        </w:rPr>
        <w:t>Concerns</w:t>
      </w:r>
      <w:r w:rsidRPr="001A420D">
        <w:rPr>
          <w:b/>
        </w:rPr>
        <w:t xml:space="preserve"> of Unions</w:t>
      </w:r>
      <w:r>
        <w:t xml:space="preserve"> (p. 428 – 435, throughout) - 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16.  </w:t>
      </w:r>
      <w:r w:rsidRPr="001A420D">
        <w:rPr>
          <w:b/>
        </w:rPr>
        <w:t>Goals of Unions</w:t>
      </w:r>
      <w:r>
        <w:t xml:space="preserve"> (p. 428 – 435, throughout) - 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17.  </w:t>
      </w:r>
      <w:r w:rsidRPr="001A420D">
        <w:rPr>
          <w:b/>
        </w:rPr>
        <w:t>The Knights of Labor</w:t>
      </w:r>
      <w:r>
        <w:t xml:space="preserve"> (p. 432) - ________________________________________________________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18.  </w:t>
      </w:r>
      <w:r w:rsidRPr="001A420D">
        <w:rPr>
          <w:b/>
        </w:rPr>
        <w:t>The Haymarket Square Riot</w:t>
      </w:r>
      <w:r>
        <w:t xml:space="preserve"> (p. 432) - __________________________________________________ </w:t>
      </w:r>
    </w:p>
    <w:p w:rsidR="001A420D" w:rsidRDefault="001A420D" w:rsidP="001A420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1A420D" w:rsidRDefault="001A420D" w:rsidP="00154345">
      <w:pPr>
        <w:spacing w:line="360" w:lineRule="auto"/>
        <w:contextualSpacing/>
      </w:pPr>
      <w:r>
        <w:t xml:space="preserve">19.  </w:t>
      </w:r>
      <w:r w:rsidRPr="00895E12">
        <w:rPr>
          <w:b/>
        </w:rPr>
        <w:t>The American Federation of Labor</w:t>
      </w:r>
      <w:r>
        <w:t xml:space="preserve"> </w:t>
      </w:r>
      <w:r w:rsidR="00895E12">
        <w:t xml:space="preserve">(p. 434) - _____________________________________________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t>20</w:t>
      </w:r>
      <w:r w:rsidRPr="00895E12">
        <w:rPr>
          <w:b/>
        </w:rPr>
        <w:t>.  The Homestead Strike</w:t>
      </w:r>
      <w:r>
        <w:t xml:space="preserve"> (p.  432) - ______________________________________________________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t xml:space="preserve">21.  </w:t>
      </w:r>
      <w:r w:rsidRPr="00895E12">
        <w:rPr>
          <w:b/>
        </w:rPr>
        <w:t>The American Railway Union</w:t>
      </w:r>
      <w:r>
        <w:t xml:space="preserve"> (p. 432 – 433) - 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lastRenderedPageBreak/>
        <w:t xml:space="preserve">22.  </w:t>
      </w:r>
      <w:r w:rsidRPr="00895E12">
        <w:rPr>
          <w:b/>
        </w:rPr>
        <w:t>The Pullman Strike of 1894</w:t>
      </w:r>
      <w:r>
        <w:t xml:space="preserve"> (p. 432 – 433) - ______________________________________________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t xml:space="preserve">23.  </w:t>
      </w:r>
      <w:r w:rsidRPr="00895E12">
        <w:rPr>
          <w:b/>
        </w:rPr>
        <w:t>International Ladies Garment Workers Union</w:t>
      </w:r>
      <w:r>
        <w:t xml:space="preserve"> (p. 435) - 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t xml:space="preserve">24.  </w:t>
      </w:r>
      <w:r w:rsidRPr="00895E12">
        <w:rPr>
          <w:b/>
        </w:rPr>
        <w:t>Goals of Progressives</w:t>
      </w:r>
      <w:r>
        <w:t xml:space="preserve"> (p. 520) - ________________________________________________________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895E1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895E12" w:rsidRDefault="00895E12" w:rsidP="00154345">
      <w:pPr>
        <w:spacing w:line="360" w:lineRule="auto"/>
        <w:contextualSpacing/>
      </w:pPr>
      <w:r>
        <w:t xml:space="preserve">25.  </w:t>
      </w:r>
      <w:r w:rsidR="00FE4A48" w:rsidRPr="00FE4A48">
        <w:rPr>
          <w:b/>
        </w:rPr>
        <w:t>The “Commission System” and City Managers</w:t>
      </w:r>
      <w:r w:rsidR="00FE4A48">
        <w:t xml:space="preserve"> (p. 522 -523 inset, “New Types of Government) - </w:t>
      </w:r>
    </w:p>
    <w:p w:rsidR="00FE4A48" w:rsidRDefault="00FE4A48" w:rsidP="00FE4A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4A48" w:rsidRDefault="00FE4A48" w:rsidP="00FE4A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26.  Changes to State Governments, spearheaded by Wisconsin’s </w:t>
      </w:r>
      <w:r w:rsidRPr="00695F48">
        <w:rPr>
          <w:b/>
        </w:rPr>
        <w:t xml:space="preserve">Robert La </w:t>
      </w:r>
      <w:proofErr w:type="spellStart"/>
      <w:r w:rsidRPr="00695F48">
        <w:rPr>
          <w:b/>
        </w:rPr>
        <w:t>Follette</w:t>
      </w:r>
      <w:proofErr w:type="spellEnd"/>
      <w:r>
        <w:t xml:space="preserve"> (p. 522 – 523) – </w:t>
      </w:r>
    </w:p>
    <w:p w:rsidR="00FE4A48" w:rsidRDefault="00FE4A48" w:rsidP="00154345">
      <w:pPr>
        <w:spacing w:line="360" w:lineRule="auto"/>
        <w:contextualSpacing/>
      </w:pPr>
      <w:r>
        <w:t>26A</w:t>
      </w:r>
      <w:proofErr w:type="gramStart"/>
      <w:r>
        <w:t xml:space="preserve">.  </w:t>
      </w:r>
      <w:r w:rsidRPr="00695F48">
        <w:rPr>
          <w:b/>
          <w:i/>
          <w:u w:val="single"/>
        </w:rPr>
        <w:t>Direct</w:t>
      </w:r>
      <w:proofErr w:type="gramEnd"/>
      <w:r w:rsidRPr="00695F48">
        <w:rPr>
          <w:b/>
          <w:i/>
          <w:u w:val="single"/>
        </w:rPr>
        <w:t xml:space="preserve"> Primary System</w:t>
      </w:r>
      <w:r>
        <w:t xml:space="preserve"> (p. 522) - 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>26B</w:t>
      </w:r>
      <w:proofErr w:type="gramStart"/>
      <w:r>
        <w:t xml:space="preserve">.  </w:t>
      </w:r>
      <w:r w:rsidRPr="00695F48">
        <w:rPr>
          <w:b/>
          <w:i/>
          <w:u w:val="single"/>
        </w:rPr>
        <w:t>Initiative</w:t>
      </w:r>
      <w:proofErr w:type="gramEnd"/>
      <w:r>
        <w:t xml:space="preserve"> (p. 523) - 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>26C</w:t>
      </w:r>
      <w:proofErr w:type="gramStart"/>
      <w:r>
        <w:t xml:space="preserve">.  </w:t>
      </w:r>
      <w:r w:rsidRPr="00695F48">
        <w:rPr>
          <w:b/>
          <w:i/>
          <w:u w:val="single"/>
        </w:rPr>
        <w:t>Referendum</w:t>
      </w:r>
      <w:proofErr w:type="gramEnd"/>
      <w:r>
        <w:t xml:space="preserve"> (p. 523) -______________________________________________________________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>26D</w:t>
      </w:r>
      <w:proofErr w:type="gramStart"/>
      <w:r>
        <w:t xml:space="preserve">.  </w:t>
      </w:r>
      <w:r w:rsidRPr="00695F48">
        <w:rPr>
          <w:b/>
          <w:i/>
          <w:u w:val="single"/>
        </w:rPr>
        <w:t>Recall</w:t>
      </w:r>
      <w:proofErr w:type="gramEnd"/>
      <w:r w:rsidRPr="00695F48">
        <w:rPr>
          <w:b/>
          <w:i/>
          <w:u w:val="single"/>
        </w:rPr>
        <w:t xml:space="preserve"> Elections</w:t>
      </w:r>
      <w:r>
        <w:t xml:space="preserve"> (p. 523) - 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>26E</w:t>
      </w:r>
      <w:proofErr w:type="gramStart"/>
      <w:r>
        <w:t xml:space="preserve">.  </w:t>
      </w:r>
      <w:r w:rsidRPr="00695F48">
        <w:rPr>
          <w:b/>
          <w:i/>
          <w:u w:val="single"/>
        </w:rPr>
        <w:t>The</w:t>
      </w:r>
      <w:proofErr w:type="gramEnd"/>
      <w:r w:rsidRPr="00695F48">
        <w:rPr>
          <w:b/>
          <w:i/>
          <w:u w:val="single"/>
        </w:rPr>
        <w:t xml:space="preserve"> 17</w:t>
      </w:r>
      <w:r w:rsidRPr="00695F48">
        <w:rPr>
          <w:b/>
          <w:i/>
          <w:u w:val="single"/>
          <w:vertAlign w:val="superscript"/>
        </w:rPr>
        <w:t>th</w:t>
      </w:r>
      <w:r w:rsidRPr="00695F48">
        <w:rPr>
          <w:b/>
          <w:i/>
          <w:u w:val="single"/>
        </w:rPr>
        <w:t xml:space="preserve"> Amendment</w:t>
      </w:r>
      <w:r>
        <w:t xml:space="preserve"> (p. 523) - _______________________________________________________ </w:t>
      </w:r>
    </w:p>
    <w:p w:rsidR="00FE4A48" w:rsidRDefault="00FE4A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4A48" w:rsidRDefault="00695F48" w:rsidP="00154345">
      <w:pPr>
        <w:spacing w:line="360" w:lineRule="auto"/>
        <w:contextualSpacing/>
      </w:pPr>
      <w:r>
        <w:t>26F</w:t>
      </w:r>
      <w:proofErr w:type="gramStart"/>
      <w:r>
        <w:t xml:space="preserve">.  </w:t>
      </w:r>
      <w:r w:rsidRPr="00695F48">
        <w:rPr>
          <w:b/>
          <w:i/>
          <w:u w:val="single"/>
        </w:rPr>
        <w:t>Secret</w:t>
      </w:r>
      <w:proofErr w:type="gramEnd"/>
      <w:r w:rsidRPr="00695F48">
        <w:rPr>
          <w:b/>
          <w:i/>
          <w:u w:val="single"/>
        </w:rPr>
        <w:t xml:space="preserve"> Ballots</w:t>
      </w:r>
      <w:r>
        <w:t xml:space="preserve"> - 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t xml:space="preserve">27.  </w:t>
      </w:r>
      <w:r w:rsidRPr="00695F48">
        <w:rPr>
          <w:b/>
        </w:rPr>
        <w:t xml:space="preserve">Muckrakers </w:t>
      </w:r>
      <w:proofErr w:type="gramStart"/>
      <w:r w:rsidRPr="00695F48">
        <w:rPr>
          <w:b/>
        </w:rPr>
        <w:t>Against</w:t>
      </w:r>
      <w:proofErr w:type="gramEnd"/>
      <w:r w:rsidRPr="00695F48">
        <w:rPr>
          <w:b/>
        </w:rPr>
        <w:t xml:space="preserve"> Child Labor</w:t>
      </w:r>
      <w:r>
        <w:t xml:space="preserve"> (p. 526) - _______________________________________________ </w:t>
      </w:r>
    </w:p>
    <w:p w:rsidR="00695F48" w:rsidRDefault="00695F48" w:rsidP="00695F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lastRenderedPageBreak/>
        <w:t xml:space="preserve">28.  </w:t>
      </w:r>
      <w:r w:rsidRPr="00695F48">
        <w:rPr>
          <w:b/>
        </w:rPr>
        <w:t>The 19</w:t>
      </w:r>
      <w:r w:rsidRPr="00695F48">
        <w:rPr>
          <w:b/>
          <w:vertAlign w:val="superscript"/>
        </w:rPr>
        <w:t>th</w:t>
      </w:r>
      <w:r w:rsidRPr="00695F48">
        <w:rPr>
          <w:b/>
        </w:rPr>
        <w:t xml:space="preserve"> Amendment</w:t>
      </w:r>
      <w:r>
        <w:t xml:space="preserve"> (p. 524 – 525 inset “The Woman Suffrage Movement”) - _________________ </w:t>
      </w:r>
    </w:p>
    <w:p w:rsidR="00695F48" w:rsidRDefault="00695F48" w:rsidP="00695F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t xml:space="preserve">29.  </w:t>
      </w:r>
      <w:r w:rsidRPr="00695F48">
        <w:rPr>
          <w:b/>
        </w:rPr>
        <w:t>The Sherman Anti-Trust Act</w:t>
      </w:r>
      <w:r>
        <w:t xml:space="preserve"> (p. 528 – 529) - _____________________________________________ </w:t>
      </w:r>
    </w:p>
    <w:p w:rsidR="00695F48" w:rsidRDefault="00695F48" w:rsidP="00695F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t xml:space="preserve">30.  </w:t>
      </w:r>
      <w:r w:rsidRPr="00695F48">
        <w:rPr>
          <w:b/>
        </w:rPr>
        <w:t>Theodore Roosevelt’s Square Deal</w:t>
      </w:r>
      <w:r>
        <w:t xml:space="preserve"> (p. 528) - _____________________________________________ </w:t>
      </w:r>
    </w:p>
    <w:p w:rsidR="00695F48" w:rsidRDefault="00695F48" w:rsidP="00695F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5F48" w:rsidRDefault="00695F48" w:rsidP="00154345">
      <w:pPr>
        <w:spacing w:line="360" w:lineRule="auto"/>
        <w:contextualSpacing/>
      </w:pPr>
      <w:r>
        <w:t xml:space="preserve">31.  </w:t>
      </w:r>
      <w:r w:rsidRPr="00695F48">
        <w:rPr>
          <w:b/>
        </w:rPr>
        <w:t>William Howard Taft as a “Trustbuster”</w:t>
      </w:r>
      <w:r>
        <w:t xml:space="preserve"> (p. 535) - ________________________________________ </w:t>
      </w:r>
    </w:p>
    <w:p w:rsidR="00695F48" w:rsidRDefault="00695F48" w:rsidP="00695F48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695F48" w:rsidRDefault="00D66D97" w:rsidP="00695F48">
      <w:pPr>
        <w:spacing w:line="360" w:lineRule="auto"/>
        <w:contextualSpacing/>
      </w:pPr>
      <w:r>
        <w:t xml:space="preserve">32.  </w:t>
      </w:r>
      <w:r w:rsidRPr="00D66D97">
        <w:rPr>
          <w:b/>
        </w:rPr>
        <w:t>Woodrow Wilson’s The New Freedom</w:t>
      </w:r>
      <w:r>
        <w:t xml:space="preserve"> (p. 537) - __________________________________________ </w:t>
      </w:r>
    </w:p>
    <w:p w:rsidR="00D66D97" w:rsidRDefault="00D66D97" w:rsidP="00D66D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66D97" w:rsidRDefault="00D66D97" w:rsidP="00695F48">
      <w:pPr>
        <w:spacing w:line="360" w:lineRule="auto"/>
        <w:contextualSpacing/>
      </w:pPr>
      <w:r>
        <w:t xml:space="preserve">33.  </w:t>
      </w:r>
      <w:r w:rsidRPr="00D66D97">
        <w:rPr>
          <w:b/>
        </w:rPr>
        <w:t>The Clayton Anti-Trust Act</w:t>
      </w:r>
      <w:r>
        <w:t xml:space="preserve"> (p. 539) - ___________________________________________________ </w:t>
      </w:r>
    </w:p>
    <w:p w:rsidR="00D66D97" w:rsidRDefault="00D66D97" w:rsidP="00D66D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66D97" w:rsidRDefault="00D66D97" w:rsidP="00695F48">
      <w:pPr>
        <w:spacing w:line="360" w:lineRule="auto"/>
        <w:contextualSpacing/>
      </w:pPr>
      <w:r>
        <w:t xml:space="preserve">34.  </w:t>
      </w:r>
      <w:r w:rsidRPr="00D66D97">
        <w:rPr>
          <w:b/>
        </w:rPr>
        <w:t>The Federal Reserve Act</w:t>
      </w:r>
      <w:r>
        <w:t xml:space="preserve"> (p. 539) - _____________________________________________________ </w:t>
      </w:r>
    </w:p>
    <w:p w:rsidR="00D66D97" w:rsidRDefault="00D66D97" w:rsidP="00D66D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66D97" w:rsidRDefault="00D66D97" w:rsidP="00695F48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1D4DC" wp14:editId="56EFD54F">
                <wp:simplePos x="0" y="0"/>
                <wp:positionH relativeFrom="column">
                  <wp:posOffset>3676650</wp:posOffset>
                </wp:positionH>
                <wp:positionV relativeFrom="paragraph">
                  <wp:posOffset>210185</wp:posOffset>
                </wp:positionV>
                <wp:extent cx="2781300" cy="23336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2333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6D97" w:rsidRDefault="00D66D97" w:rsidP="00D66D97">
                            <w:pPr>
                              <w:spacing w:line="360" w:lineRule="auto"/>
                            </w:pPr>
                            <w:r>
                              <w:t xml:space="preserve">35.  Thomas Nast’s “Who Stole The People’s Money” Political Cartoon, criticizing </w:t>
                            </w:r>
                            <w:r w:rsidRPr="00D66D97">
                              <w:rPr>
                                <w:b/>
                              </w:rPr>
                              <w:t>Political Machines</w:t>
                            </w:r>
                            <w:r>
                              <w:t xml:space="preserve"> (p. 454 – 455</w:t>
                            </w:r>
                            <w:proofErr w:type="gramStart"/>
                            <w:r>
                              <w:t>)-</w:t>
                            </w:r>
                            <w:proofErr w:type="gramEnd"/>
                            <w:r>
                              <w:t xml:space="preserve"> 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89.5pt;margin-top:16.55pt;width:219pt;height:18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" fillcolor="white [3201]" strokecolor="#f79646 [3209]" strokeweight="2pt">
                <v:textbox>
                  <w:txbxContent>
                    <w:p w:rsidR="00D66D97" w:rsidRDefault="00D66D97" w:rsidP="00D66D97">
                      <w:pPr>
                        <w:spacing w:line="360" w:lineRule="auto"/>
                      </w:pPr>
                      <w:r>
                        <w:t xml:space="preserve">35.  Thomas Nast’s “Who Stole The People’s Money” Political Cartoon, criticizing </w:t>
                      </w:r>
                      <w:r w:rsidRPr="00D66D97">
                        <w:rPr>
                          <w:b/>
                        </w:rPr>
                        <w:t>Political Machines</w:t>
                      </w:r>
                      <w:r>
                        <w:t xml:space="preserve"> (p. 454 – 455</w:t>
                      </w:r>
                      <w:proofErr w:type="gramStart"/>
                      <w:r>
                        <w:t>)-</w:t>
                      </w:r>
                      <w:proofErr w:type="gramEnd"/>
                      <w:r>
                        <w:t xml:space="preserve"> 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695F48" w:rsidRDefault="00D66D97" w:rsidP="00154345">
      <w:pPr>
        <w:spacing w:line="360" w:lineRule="auto"/>
        <w:contextualSpacing/>
      </w:pPr>
      <w:r>
        <w:rPr>
          <w:noProof/>
        </w:rPr>
        <w:drawing>
          <wp:inline distT="0" distB="0" distL="0" distR="0">
            <wp:extent cx="3495675" cy="22884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st Who Stole the People's Mone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0764" cy="2298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5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45"/>
    <w:rsid w:val="0006674C"/>
    <w:rsid w:val="00154345"/>
    <w:rsid w:val="001A420D"/>
    <w:rsid w:val="003E32CF"/>
    <w:rsid w:val="004B1B41"/>
    <w:rsid w:val="00695F48"/>
    <w:rsid w:val="00806849"/>
    <w:rsid w:val="008240C1"/>
    <w:rsid w:val="00895E12"/>
    <w:rsid w:val="00B0363A"/>
    <w:rsid w:val="00D66D97"/>
    <w:rsid w:val="00FE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2014-03-10T01:30:00Z</cp:lastPrinted>
  <dcterms:created xsi:type="dcterms:W3CDTF">2014-03-10T01:31:00Z</dcterms:created>
  <dcterms:modified xsi:type="dcterms:W3CDTF">2014-03-10T01:31:00Z</dcterms:modified>
</cp:coreProperties>
</file>